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CCA" w:rsidRPr="00E06CCA" w:rsidRDefault="00E06CCA" w:rsidP="00E06CCA">
      <w:pPr>
        <w:spacing w:after="0" w:line="240" w:lineRule="auto"/>
        <w:ind w:left="720" w:firstLine="6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bookmarkStart w:id="0" w:name="_GoBack"/>
      <w:bookmarkEnd w:id="0"/>
      <w:r w:rsidRPr="00E06CCA">
        <w:rPr>
          <w:rFonts w:ascii="Times New Roman" w:eastAsia="Arial Unicode MS" w:hAnsi="Times New Roman" w:cs="Times New Roman"/>
          <w:b/>
          <w:sz w:val="24"/>
          <w:szCs w:val="24"/>
        </w:rPr>
        <w:t>Evaluating Perceptions of and Barriers to Successful Inpatient Glycemic Control Among Resident Physicians</w:t>
      </w:r>
    </w:p>
    <w:p w:rsidR="00E06CCA" w:rsidRPr="00E06CCA" w:rsidRDefault="00E06CCA" w:rsidP="00E06CCA">
      <w:pPr>
        <w:spacing w:after="0" w:line="240" w:lineRule="auto"/>
        <w:ind w:left="720" w:firstLine="6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06CCA" w:rsidRPr="00E06CCA" w:rsidRDefault="00E06CCA" w:rsidP="00E06CCA">
      <w:pPr>
        <w:spacing w:after="0" w:line="240" w:lineRule="auto"/>
        <w:ind w:left="720" w:firstLine="60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E06CCA">
        <w:rPr>
          <w:rFonts w:ascii="Times New Roman" w:eastAsia="Arial Unicode MS" w:hAnsi="Times New Roman" w:cs="Times New Roman"/>
          <w:sz w:val="20"/>
          <w:szCs w:val="20"/>
        </w:rPr>
        <w:t>William B. Horton, MD and S. Calvin Thigpen, MD</w:t>
      </w:r>
    </w:p>
    <w:p w:rsidR="00E06CCA" w:rsidRPr="00E06CCA" w:rsidRDefault="00E06CCA" w:rsidP="00E06CCA">
      <w:pPr>
        <w:spacing w:after="0" w:line="240" w:lineRule="auto"/>
        <w:ind w:left="720" w:firstLine="60"/>
        <w:jc w:val="center"/>
        <w:rPr>
          <w:rFonts w:ascii="Times New Roman" w:eastAsia="Arial Unicode MS" w:hAnsi="Times New Roman" w:cs="Times New Roman"/>
          <w:sz w:val="20"/>
          <w:szCs w:val="20"/>
        </w:rPr>
      </w:pPr>
    </w:p>
    <w:p w:rsidR="00E06CCA" w:rsidRPr="00E06CCA" w:rsidRDefault="00E06CCA" w:rsidP="00E06CCA">
      <w:pPr>
        <w:spacing w:after="0" w:line="240" w:lineRule="auto"/>
        <w:ind w:left="720" w:firstLine="60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E06CCA">
        <w:rPr>
          <w:rFonts w:ascii="Times New Roman" w:eastAsia="Arial Unicode MS" w:hAnsi="Times New Roman" w:cs="Times New Roman"/>
          <w:sz w:val="20"/>
          <w:szCs w:val="20"/>
        </w:rPr>
        <w:t xml:space="preserve">Department of Medicine, University of </w:t>
      </w:r>
      <w:r w:rsidR="009F0A60" w:rsidRPr="00E06CCA">
        <w:rPr>
          <w:rFonts w:ascii="Times New Roman" w:eastAsia="Arial Unicode MS" w:hAnsi="Times New Roman" w:cs="Times New Roman"/>
          <w:sz w:val="20"/>
          <w:szCs w:val="20"/>
        </w:rPr>
        <w:t>Missis</w:t>
      </w:r>
      <w:r w:rsidR="009F0A60">
        <w:rPr>
          <w:rFonts w:ascii="Times New Roman" w:eastAsia="Arial Unicode MS" w:hAnsi="Times New Roman" w:cs="Times New Roman"/>
          <w:sz w:val="20"/>
          <w:szCs w:val="20"/>
        </w:rPr>
        <w:t>sippi</w:t>
      </w:r>
      <w:r w:rsidR="00F92C41">
        <w:rPr>
          <w:rFonts w:ascii="Times New Roman" w:eastAsia="Arial Unicode MS" w:hAnsi="Times New Roman" w:cs="Times New Roman"/>
          <w:sz w:val="20"/>
          <w:szCs w:val="20"/>
        </w:rPr>
        <w:t xml:space="preserve"> Medical Center, Jackson, MS</w:t>
      </w:r>
    </w:p>
    <w:p w:rsidR="00E06CCA" w:rsidRDefault="00E06CCA" w:rsidP="00E06CCA">
      <w:pPr>
        <w:spacing w:after="0" w:line="240" w:lineRule="auto"/>
        <w:ind w:left="720" w:firstLine="6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E06CCA" w:rsidRDefault="00E06CCA" w:rsidP="00E06CCA">
      <w:pPr>
        <w:spacing w:after="0" w:line="240" w:lineRule="auto"/>
        <w:ind w:left="720" w:firstLine="60"/>
        <w:rPr>
          <w:rFonts w:ascii="Times New Roman" w:eastAsia="Arial Unicode MS" w:hAnsi="Times New Roman" w:cs="Times New Roman"/>
          <w:sz w:val="24"/>
          <w:szCs w:val="24"/>
        </w:rPr>
      </w:pPr>
    </w:p>
    <w:p w:rsidR="00E06CCA" w:rsidRDefault="00E06CCA" w:rsidP="00E06CCA">
      <w:pPr>
        <w:spacing w:after="0" w:line="240" w:lineRule="auto"/>
        <w:ind w:left="720" w:firstLine="6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06CCA">
        <w:rPr>
          <w:rFonts w:ascii="Times New Roman" w:eastAsia="Arial Unicode MS" w:hAnsi="Times New Roman" w:cs="Times New Roman"/>
          <w:b/>
          <w:sz w:val="24"/>
          <w:szCs w:val="24"/>
        </w:rPr>
        <w:t xml:space="preserve">Introduction </w:t>
      </w:r>
    </w:p>
    <w:p w:rsidR="00C25F10" w:rsidRDefault="00C25F10" w:rsidP="00E06CCA">
      <w:pPr>
        <w:spacing w:after="0" w:line="240" w:lineRule="auto"/>
        <w:ind w:left="720" w:firstLine="6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06CCA" w:rsidRDefault="00C25F10" w:rsidP="00E06CCA">
      <w:pPr>
        <w:spacing w:after="0" w:line="240" w:lineRule="auto"/>
        <w:ind w:left="720" w:firstLine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link between uncontrolled hyperglycemia and increased patient morbidity, mortality, and length of hospital stay is well-established.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1961">
        <w:rPr>
          <w:rFonts w:ascii="Times New Roman" w:hAnsi="Times New Roman" w:cs="Times New Roman"/>
          <w:sz w:val="24"/>
          <w:szCs w:val="24"/>
        </w:rPr>
        <w:t xml:space="preserve">Before educational interventions and policies aimed at improving inpatient glycemic control can be established, institutions should gain a better understanding of how practitioners view </w:t>
      </w:r>
      <w:r w:rsidR="00F307B1">
        <w:rPr>
          <w:rFonts w:ascii="Times New Roman" w:hAnsi="Times New Roman" w:cs="Times New Roman"/>
          <w:sz w:val="24"/>
          <w:szCs w:val="24"/>
        </w:rPr>
        <w:t>inpatient glycemic control. We developed a questionnaire and surveyed</w:t>
      </w:r>
      <w:r w:rsidR="00723E2A">
        <w:rPr>
          <w:rFonts w:ascii="Times New Roman" w:hAnsi="Times New Roman" w:cs="Times New Roman"/>
          <w:sz w:val="24"/>
          <w:szCs w:val="24"/>
        </w:rPr>
        <w:t xml:space="preserve"> resident physicians to examine</w:t>
      </w:r>
      <w:r w:rsidR="00F307B1">
        <w:rPr>
          <w:rFonts w:ascii="Times New Roman" w:hAnsi="Times New Roman" w:cs="Times New Roman"/>
          <w:sz w:val="24"/>
          <w:szCs w:val="24"/>
        </w:rPr>
        <w:t xml:space="preserve"> their </w:t>
      </w:r>
      <w:r w:rsidR="00723E2A">
        <w:rPr>
          <w:rFonts w:ascii="Times New Roman" w:hAnsi="Times New Roman" w:cs="Times New Roman"/>
          <w:sz w:val="24"/>
          <w:szCs w:val="24"/>
        </w:rPr>
        <w:t>perceptions of and b</w:t>
      </w:r>
      <w:r w:rsidR="00F92C41">
        <w:rPr>
          <w:rFonts w:ascii="Times New Roman" w:hAnsi="Times New Roman" w:cs="Times New Roman"/>
          <w:sz w:val="24"/>
          <w:szCs w:val="24"/>
        </w:rPr>
        <w:t xml:space="preserve">arriers to successful inpatient glycemic control. </w:t>
      </w:r>
    </w:p>
    <w:p w:rsidR="009B3147" w:rsidRPr="009B3147" w:rsidRDefault="009B3147" w:rsidP="00E06CCA">
      <w:pPr>
        <w:spacing w:after="0" w:line="240" w:lineRule="auto"/>
        <w:ind w:left="720" w:firstLine="60"/>
        <w:rPr>
          <w:rFonts w:ascii="Times New Roman" w:hAnsi="Times New Roman" w:cs="Times New Roman"/>
          <w:b/>
          <w:sz w:val="24"/>
          <w:szCs w:val="24"/>
        </w:rPr>
      </w:pPr>
    </w:p>
    <w:p w:rsidR="009B3147" w:rsidRDefault="009B3147" w:rsidP="00E06CCA">
      <w:pPr>
        <w:spacing w:after="0" w:line="240" w:lineRule="auto"/>
        <w:ind w:left="720" w:firstLine="60"/>
        <w:rPr>
          <w:rFonts w:ascii="Times New Roman" w:hAnsi="Times New Roman" w:cs="Times New Roman"/>
          <w:b/>
          <w:sz w:val="24"/>
          <w:szCs w:val="24"/>
        </w:rPr>
      </w:pPr>
      <w:r w:rsidRPr="009B3147">
        <w:rPr>
          <w:rFonts w:ascii="Times New Roman" w:hAnsi="Times New Roman" w:cs="Times New Roman"/>
          <w:b/>
          <w:sz w:val="24"/>
          <w:szCs w:val="24"/>
        </w:rPr>
        <w:t>Methods</w:t>
      </w:r>
    </w:p>
    <w:p w:rsidR="009B3147" w:rsidRDefault="009B3147" w:rsidP="00E06CCA">
      <w:pPr>
        <w:spacing w:after="0" w:line="240" w:lineRule="auto"/>
        <w:ind w:left="720" w:firstLine="60"/>
        <w:rPr>
          <w:rFonts w:ascii="Times New Roman" w:hAnsi="Times New Roman" w:cs="Times New Roman"/>
          <w:b/>
          <w:sz w:val="24"/>
          <w:szCs w:val="24"/>
        </w:rPr>
      </w:pPr>
    </w:p>
    <w:p w:rsidR="000859AD" w:rsidRDefault="00E57568" w:rsidP="00E06CCA">
      <w:pPr>
        <w:spacing w:after="0" w:line="240" w:lineRule="auto"/>
        <w:ind w:left="720" w:firstLine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designed a </w:t>
      </w:r>
      <w:r w:rsidR="004142BF">
        <w:rPr>
          <w:rFonts w:ascii="Times New Roman" w:hAnsi="Times New Roman" w:cs="Times New Roman"/>
          <w:sz w:val="24"/>
          <w:szCs w:val="24"/>
        </w:rPr>
        <w:t xml:space="preserve">questionnaire and </w:t>
      </w:r>
      <w:r w:rsidR="00EE1396">
        <w:rPr>
          <w:rFonts w:ascii="Times New Roman" w:hAnsi="Times New Roman" w:cs="Times New Roman"/>
          <w:sz w:val="24"/>
          <w:szCs w:val="24"/>
        </w:rPr>
        <w:t xml:space="preserve">Institutional Review Board (IRB) approval was granted. </w:t>
      </w:r>
      <w:r>
        <w:rPr>
          <w:rFonts w:ascii="Times New Roman" w:hAnsi="Times New Roman" w:cs="Times New Roman"/>
          <w:sz w:val="24"/>
          <w:szCs w:val="24"/>
        </w:rPr>
        <w:t xml:space="preserve">We then </w:t>
      </w:r>
      <w:r w:rsidR="004142BF">
        <w:rPr>
          <w:rFonts w:ascii="Times New Roman" w:hAnsi="Times New Roman" w:cs="Times New Roman"/>
          <w:sz w:val="24"/>
          <w:szCs w:val="24"/>
        </w:rPr>
        <w:t xml:space="preserve">administered </w:t>
      </w:r>
      <w:r>
        <w:rPr>
          <w:rFonts w:ascii="Times New Roman" w:hAnsi="Times New Roman" w:cs="Times New Roman"/>
          <w:sz w:val="24"/>
          <w:szCs w:val="24"/>
        </w:rPr>
        <w:t xml:space="preserve">the questionnaire </w:t>
      </w:r>
      <w:r w:rsidR="004142BF">
        <w:rPr>
          <w:rFonts w:ascii="Times New Roman" w:hAnsi="Times New Roman" w:cs="Times New Roman"/>
          <w:sz w:val="24"/>
          <w:szCs w:val="24"/>
        </w:rPr>
        <w:t xml:space="preserve">to </w:t>
      </w:r>
      <w:r w:rsidR="00451F9B">
        <w:rPr>
          <w:rFonts w:ascii="Times New Roman" w:hAnsi="Times New Roman" w:cs="Times New Roman"/>
          <w:sz w:val="24"/>
          <w:szCs w:val="24"/>
        </w:rPr>
        <w:t xml:space="preserve">Internal Medicine and Medicine-Pediatric </w:t>
      </w:r>
      <w:r w:rsidR="004142BF">
        <w:rPr>
          <w:rFonts w:ascii="Times New Roman" w:hAnsi="Times New Roman" w:cs="Times New Roman"/>
          <w:sz w:val="24"/>
          <w:szCs w:val="24"/>
        </w:rPr>
        <w:t xml:space="preserve">resident physicians </w:t>
      </w:r>
      <w:r w:rsidR="00451F9B">
        <w:rPr>
          <w:rFonts w:ascii="Times New Roman" w:hAnsi="Times New Roman" w:cs="Times New Roman"/>
          <w:sz w:val="24"/>
          <w:szCs w:val="24"/>
        </w:rPr>
        <w:t xml:space="preserve">at the University of Mississippi Medical Center </w:t>
      </w:r>
      <w:r w:rsidR="004142BF">
        <w:rPr>
          <w:rFonts w:ascii="Times New Roman" w:hAnsi="Times New Roman" w:cs="Times New Roman"/>
          <w:sz w:val="24"/>
          <w:szCs w:val="24"/>
        </w:rPr>
        <w:t xml:space="preserve">to determine their </w:t>
      </w:r>
      <w:r w:rsidR="0055746C">
        <w:rPr>
          <w:rFonts w:ascii="Times New Roman" w:hAnsi="Times New Roman" w:cs="Times New Roman"/>
          <w:sz w:val="24"/>
          <w:szCs w:val="24"/>
        </w:rPr>
        <w:t>viewpoints regarding the importance of inpatient glycemic control, knowledge</w:t>
      </w:r>
      <w:r w:rsidR="00451F9B">
        <w:rPr>
          <w:rFonts w:ascii="Times New Roman" w:hAnsi="Times New Roman" w:cs="Times New Roman"/>
          <w:sz w:val="24"/>
          <w:szCs w:val="24"/>
        </w:rPr>
        <w:t xml:space="preserve"> of inpatient glycemic target values, and problems encountered when trying to manage hyperglycemia in hospitalized patients. </w:t>
      </w:r>
    </w:p>
    <w:p w:rsidR="00E70E68" w:rsidRDefault="00E70E68" w:rsidP="00E06CCA">
      <w:pPr>
        <w:spacing w:after="0" w:line="240" w:lineRule="auto"/>
        <w:ind w:left="720" w:firstLine="60"/>
        <w:rPr>
          <w:rFonts w:ascii="Times New Roman" w:hAnsi="Times New Roman" w:cs="Times New Roman"/>
          <w:sz w:val="24"/>
          <w:szCs w:val="24"/>
        </w:rPr>
      </w:pPr>
    </w:p>
    <w:p w:rsidR="00E70E68" w:rsidRPr="00E70E68" w:rsidRDefault="00E70E68" w:rsidP="00E06CCA">
      <w:pPr>
        <w:spacing w:after="0" w:line="240" w:lineRule="auto"/>
        <w:ind w:left="720" w:firstLine="60"/>
        <w:rPr>
          <w:rFonts w:ascii="Times New Roman" w:hAnsi="Times New Roman" w:cs="Times New Roman"/>
          <w:b/>
          <w:sz w:val="24"/>
          <w:szCs w:val="24"/>
        </w:rPr>
      </w:pPr>
      <w:r w:rsidRPr="00E70E68">
        <w:rPr>
          <w:rFonts w:ascii="Times New Roman" w:hAnsi="Times New Roman" w:cs="Times New Roman"/>
          <w:b/>
          <w:sz w:val="24"/>
          <w:szCs w:val="24"/>
        </w:rPr>
        <w:t>Results</w:t>
      </w:r>
    </w:p>
    <w:p w:rsidR="00E70E68" w:rsidRDefault="00E70E68" w:rsidP="00E06CCA">
      <w:pPr>
        <w:spacing w:after="0" w:line="240" w:lineRule="auto"/>
        <w:ind w:left="720" w:firstLine="60"/>
        <w:rPr>
          <w:rFonts w:ascii="Times New Roman" w:hAnsi="Times New Roman" w:cs="Times New Roman"/>
          <w:sz w:val="24"/>
          <w:szCs w:val="24"/>
        </w:rPr>
      </w:pPr>
    </w:p>
    <w:p w:rsidR="00974B3D" w:rsidRDefault="00DB2D21" w:rsidP="00936194">
      <w:pPr>
        <w:spacing w:after="0" w:line="240" w:lineRule="auto"/>
        <w:ind w:left="720" w:firstLine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87 eligible resident physicians, 73 (83.9%) completed the questionnaire (84.9% Internal Medicine residents; 34.2% first-year residents; 28.8% second-year residents; 28.8% third-year residents; 8.2% fourth-year residents). </w:t>
      </w:r>
      <w:r w:rsidR="00353636">
        <w:rPr>
          <w:rFonts w:ascii="Times New Roman" w:hAnsi="Times New Roman" w:cs="Times New Roman"/>
          <w:sz w:val="24"/>
          <w:szCs w:val="24"/>
        </w:rPr>
        <w:t>Most residents (72.2%) agreed that they felt comfortable treating and managing inpatient hyperglycemia and most (56.2%) also agreed that they had received adequate education and prep</w:t>
      </w:r>
      <w:r w:rsidR="00D37149">
        <w:rPr>
          <w:rFonts w:ascii="Times New Roman" w:hAnsi="Times New Roman" w:cs="Times New Roman"/>
          <w:sz w:val="24"/>
          <w:szCs w:val="24"/>
        </w:rPr>
        <w:t xml:space="preserve">aration; however, only a slim majority </w:t>
      </w:r>
      <w:r w:rsidR="00E545CC">
        <w:rPr>
          <w:rFonts w:ascii="Times New Roman" w:hAnsi="Times New Roman" w:cs="Times New Roman"/>
          <w:sz w:val="24"/>
          <w:szCs w:val="24"/>
        </w:rPr>
        <w:t xml:space="preserve">(51.4%) </w:t>
      </w:r>
      <w:r w:rsidR="00D37149">
        <w:rPr>
          <w:rFonts w:ascii="Times New Roman" w:hAnsi="Times New Roman" w:cs="Times New Roman"/>
          <w:sz w:val="24"/>
          <w:szCs w:val="24"/>
        </w:rPr>
        <w:t xml:space="preserve">could identify </w:t>
      </w:r>
      <w:r w:rsidR="00E545CC">
        <w:rPr>
          <w:rFonts w:ascii="Times New Roman" w:hAnsi="Times New Roman" w:cs="Times New Roman"/>
          <w:sz w:val="24"/>
          <w:szCs w:val="24"/>
        </w:rPr>
        <w:t xml:space="preserve">appropriate </w:t>
      </w:r>
      <w:r w:rsidR="007F5743">
        <w:rPr>
          <w:rFonts w:ascii="Times New Roman" w:hAnsi="Times New Roman" w:cs="Times New Roman"/>
          <w:sz w:val="24"/>
          <w:szCs w:val="24"/>
        </w:rPr>
        <w:t xml:space="preserve">inpatient </w:t>
      </w:r>
      <w:r w:rsidR="00E545CC">
        <w:rPr>
          <w:rFonts w:ascii="Times New Roman" w:hAnsi="Times New Roman" w:cs="Times New Roman"/>
          <w:sz w:val="24"/>
          <w:szCs w:val="24"/>
        </w:rPr>
        <w:t xml:space="preserve">random glucose target values in non-critically ill patients. Only 50% could correctly identify glycemic targets in critically ill patients and </w:t>
      </w:r>
      <w:r w:rsidR="00F45471">
        <w:rPr>
          <w:rFonts w:ascii="Times New Roman" w:hAnsi="Times New Roman" w:cs="Times New Roman"/>
          <w:sz w:val="24"/>
          <w:szCs w:val="24"/>
        </w:rPr>
        <w:t xml:space="preserve">only 41.7% of respondents knew appropriate </w:t>
      </w:r>
      <w:proofErr w:type="spellStart"/>
      <w:r w:rsidR="00F45471">
        <w:rPr>
          <w:rFonts w:ascii="Times New Roman" w:hAnsi="Times New Roman" w:cs="Times New Roman"/>
          <w:sz w:val="24"/>
          <w:szCs w:val="24"/>
        </w:rPr>
        <w:t>preprandial</w:t>
      </w:r>
      <w:proofErr w:type="spellEnd"/>
      <w:r w:rsidR="00F45471">
        <w:rPr>
          <w:rFonts w:ascii="Times New Roman" w:hAnsi="Times New Roman" w:cs="Times New Roman"/>
          <w:sz w:val="24"/>
          <w:szCs w:val="24"/>
        </w:rPr>
        <w:t xml:space="preserve"> glucose targets in non-critically ill patients. </w:t>
      </w:r>
      <w:r w:rsidR="0051679A">
        <w:rPr>
          <w:rFonts w:ascii="Times New Roman" w:hAnsi="Times New Roman" w:cs="Times New Roman"/>
          <w:sz w:val="24"/>
          <w:szCs w:val="24"/>
        </w:rPr>
        <w:t xml:space="preserve">Lack of knowledge of basal plus bolus insulin regimens and lack of discussion about glucose management on teaching rounds were both barriers to successful inpatient glycemic control for 51.4% of respondents. </w:t>
      </w:r>
      <w:r w:rsidR="00936194">
        <w:rPr>
          <w:rFonts w:ascii="Times New Roman" w:hAnsi="Times New Roman" w:cs="Times New Roman"/>
          <w:sz w:val="24"/>
          <w:szCs w:val="24"/>
        </w:rPr>
        <w:t xml:space="preserve">When asked to identify the single greatest barrier to successful inpatient glycemic control, lack of education (25.4%), nursing issues such as withholding insulin (22.4%), and system issues such as dietary components and </w:t>
      </w:r>
      <w:proofErr w:type="spellStart"/>
      <w:r w:rsidR="00936194">
        <w:rPr>
          <w:rFonts w:ascii="Times New Roman" w:hAnsi="Times New Roman" w:cs="Times New Roman"/>
          <w:sz w:val="24"/>
          <w:szCs w:val="24"/>
        </w:rPr>
        <w:t>fingerstick</w:t>
      </w:r>
      <w:proofErr w:type="spellEnd"/>
      <w:r w:rsidR="00936194">
        <w:rPr>
          <w:rFonts w:ascii="Times New Roman" w:hAnsi="Times New Roman" w:cs="Times New Roman"/>
          <w:sz w:val="24"/>
          <w:szCs w:val="24"/>
        </w:rPr>
        <w:t xml:space="preserve"> glucose/insulin timing (22.4%) were the most commonly cited answers. Fear of hypoglycemia was only the sixth most common </w:t>
      </w:r>
      <w:r w:rsidR="0076185E">
        <w:rPr>
          <w:rFonts w:ascii="Times New Roman" w:hAnsi="Times New Roman" w:cs="Times New Roman"/>
          <w:sz w:val="24"/>
          <w:szCs w:val="24"/>
        </w:rPr>
        <w:t>response</w:t>
      </w:r>
      <w:r w:rsidR="00936194">
        <w:rPr>
          <w:rFonts w:ascii="Times New Roman" w:hAnsi="Times New Roman" w:cs="Times New Roman"/>
          <w:sz w:val="24"/>
          <w:szCs w:val="24"/>
        </w:rPr>
        <w:t xml:space="preserve"> (4.5%). </w:t>
      </w:r>
    </w:p>
    <w:p w:rsidR="00094598" w:rsidRDefault="00094598" w:rsidP="00936194">
      <w:pPr>
        <w:spacing w:after="0" w:line="240" w:lineRule="auto"/>
        <w:ind w:left="720" w:firstLine="60"/>
        <w:rPr>
          <w:rFonts w:ascii="Times New Roman" w:hAnsi="Times New Roman" w:cs="Times New Roman"/>
          <w:sz w:val="24"/>
          <w:szCs w:val="24"/>
        </w:rPr>
      </w:pPr>
    </w:p>
    <w:p w:rsidR="00E23C4D" w:rsidRDefault="00E23C4D" w:rsidP="00936194">
      <w:pPr>
        <w:spacing w:after="0" w:line="240" w:lineRule="auto"/>
        <w:ind w:left="720" w:firstLine="60"/>
        <w:rPr>
          <w:rFonts w:ascii="Times New Roman" w:hAnsi="Times New Roman" w:cs="Times New Roman"/>
          <w:b/>
          <w:sz w:val="24"/>
          <w:szCs w:val="24"/>
        </w:rPr>
      </w:pPr>
    </w:p>
    <w:p w:rsidR="00183CB3" w:rsidRDefault="00183CB3" w:rsidP="00936194">
      <w:pPr>
        <w:spacing w:after="0" w:line="240" w:lineRule="auto"/>
        <w:ind w:left="720" w:firstLine="60"/>
        <w:rPr>
          <w:rFonts w:ascii="Times New Roman" w:hAnsi="Times New Roman" w:cs="Times New Roman"/>
          <w:b/>
          <w:sz w:val="24"/>
          <w:szCs w:val="24"/>
        </w:rPr>
      </w:pPr>
    </w:p>
    <w:p w:rsidR="00094598" w:rsidRDefault="00094598" w:rsidP="00936194">
      <w:pPr>
        <w:spacing w:after="0" w:line="240" w:lineRule="auto"/>
        <w:ind w:left="720" w:firstLine="60"/>
        <w:rPr>
          <w:rFonts w:ascii="Times New Roman" w:hAnsi="Times New Roman" w:cs="Times New Roman"/>
          <w:b/>
          <w:sz w:val="24"/>
          <w:szCs w:val="24"/>
        </w:rPr>
      </w:pPr>
      <w:r w:rsidRPr="00094598">
        <w:rPr>
          <w:rFonts w:ascii="Times New Roman" w:hAnsi="Times New Roman" w:cs="Times New Roman"/>
          <w:b/>
          <w:sz w:val="24"/>
          <w:szCs w:val="24"/>
        </w:rPr>
        <w:lastRenderedPageBreak/>
        <w:t>Discussion</w:t>
      </w:r>
    </w:p>
    <w:p w:rsidR="00E23C4D" w:rsidRDefault="00E23C4D" w:rsidP="00936194">
      <w:pPr>
        <w:spacing w:after="0" w:line="240" w:lineRule="auto"/>
        <w:ind w:left="720" w:firstLine="60"/>
        <w:rPr>
          <w:rFonts w:ascii="Times New Roman" w:hAnsi="Times New Roman" w:cs="Times New Roman"/>
          <w:b/>
          <w:sz w:val="24"/>
          <w:szCs w:val="24"/>
        </w:rPr>
      </w:pPr>
    </w:p>
    <w:p w:rsidR="00094598" w:rsidRDefault="00E504DE" w:rsidP="00936194">
      <w:pPr>
        <w:spacing w:after="0" w:line="240" w:lineRule="auto"/>
        <w:ind w:left="720" w:firstLine="60"/>
        <w:rPr>
          <w:rFonts w:ascii="Times New Roman" w:hAnsi="Times New Roman" w:cs="Times New Roman"/>
          <w:sz w:val="24"/>
          <w:szCs w:val="24"/>
        </w:rPr>
      </w:pPr>
      <w:r w:rsidRPr="00E504DE">
        <w:rPr>
          <w:rFonts w:ascii="Times New Roman" w:hAnsi="Times New Roman" w:cs="Times New Roman"/>
          <w:sz w:val="24"/>
          <w:szCs w:val="24"/>
        </w:rPr>
        <w:t>Most residents reported feeling comfortable managing inpatient hyperglycemia</w:t>
      </w:r>
      <w:r>
        <w:rPr>
          <w:rFonts w:ascii="Times New Roman" w:hAnsi="Times New Roman" w:cs="Times New Roman"/>
          <w:sz w:val="24"/>
          <w:szCs w:val="24"/>
        </w:rPr>
        <w:t xml:space="preserve"> but </w:t>
      </w:r>
      <w:r w:rsidR="00A44915">
        <w:rPr>
          <w:rFonts w:ascii="Times New Roman" w:hAnsi="Times New Roman" w:cs="Times New Roman"/>
          <w:sz w:val="24"/>
          <w:szCs w:val="24"/>
        </w:rPr>
        <w:t>had trouble</w:t>
      </w:r>
      <w:r>
        <w:rPr>
          <w:rFonts w:ascii="Times New Roman" w:hAnsi="Times New Roman" w:cs="Times New Roman"/>
          <w:sz w:val="24"/>
          <w:szCs w:val="24"/>
        </w:rPr>
        <w:t xml:space="preserve"> identify</w:t>
      </w:r>
      <w:r w:rsidR="00A44915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appropriate inpatient glycemic targets from the most recent consensus guidelines.</w:t>
      </w:r>
      <w:r w:rsidR="0072776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1114">
        <w:rPr>
          <w:rFonts w:ascii="Times New Roman" w:hAnsi="Times New Roman" w:cs="Times New Roman"/>
          <w:sz w:val="24"/>
          <w:szCs w:val="24"/>
        </w:rPr>
        <w:t xml:space="preserve">Lack of education and nursing/system issues were the most commonly cited barriers to ideal inpatient glycemic management. </w:t>
      </w:r>
      <w:r w:rsidR="0081769B">
        <w:rPr>
          <w:rFonts w:ascii="Times New Roman" w:hAnsi="Times New Roman" w:cs="Times New Roman"/>
          <w:sz w:val="24"/>
          <w:szCs w:val="24"/>
        </w:rPr>
        <w:t xml:space="preserve">Limitations of this study include the </w:t>
      </w:r>
      <w:r w:rsidR="0051679A">
        <w:rPr>
          <w:rFonts w:ascii="Times New Roman" w:hAnsi="Times New Roman" w:cs="Times New Roman"/>
          <w:sz w:val="24"/>
          <w:szCs w:val="24"/>
        </w:rPr>
        <w:t xml:space="preserve">wording of the questions and Likert scale answers both being subject to interpretation of the respondent and respondents being from one academic medical center. </w:t>
      </w:r>
      <w:r w:rsidR="00F31114">
        <w:rPr>
          <w:rFonts w:ascii="Times New Roman" w:hAnsi="Times New Roman" w:cs="Times New Roman"/>
          <w:sz w:val="24"/>
          <w:szCs w:val="24"/>
        </w:rPr>
        <w:t xml:space="preserve">Future interventions should focus on resident education along with improving system environments to aid in successful inpatient glycemic control. </w:t>
      </w:r>
    </w:p>
    <w:p w:rsidR="00570A78" w:rsidRDefault="00570A78" w:rsidP="00936194">
      <w:pPr>
        <w:spacing w:after="0" w:line="240" w:lineRule="auto"/>
        <w:ind w:left="720" w:firstLine="60"/>
        <w:rPr>
          <w:rFonts w:ascii="Times New Roman" w:hAnsi="Times New Roman" w:cs="Times New Roman"/>
          <w:sz w:val="24"/>
          <w:szCs w:val="24"/>
        </w:rPr>
      </w:pPr>
    </w:p>
    <w:p w:rsidR="00570A78" w:rsidRPr="00570A78" w:rsidRDefault="00570A78" w:rsidP="00936194">
      <w:pPr>
        <w:spacing w:after="0" w:line="240" w:lineRule="auto"/>
        <w:ind w:left="720" w:firstLine="60"/>
        <w:rPr>
          <w:rFonts w:ascii="Times New Roman" w:hAnsi="Times New Roman" w:cs="Times New Roman"/>
          <w:b/>
          <w:sz w:val="24"/>
          <w:szCs w:val="24"/>
        </w:rPr>
      </w:pPr>
      <w:r w:rsidRPr="00570A78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570A78" w:rsidRDefault="00570A78" w:rsidP="00936194">
      <w:pPr>
        <w:spacing w:after="0" w:line="240" w:lineRule="auto"/>
        <w:ind w:left="720" w:firstLine="60"/>
        <w:rPr>
          <w:rFonts w:ascii="Times New Roman" w:hAnsi="Times New Roman" w:cs="Times New Roman"/>
          <w:sz w:val="24"/>
          <w:szCs w:val="24"/>
        </w:rPr>
      </w:pPr>
    </w:p>
    <w:p w:rsidR="00570A78" w:rsidRDefault="00570A78" w:rsidP="00570A7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E338F">
        <w:rPr>
          <w:rFonts w:ascii="Times New Roman" w:hAnsi="Times New Roman" w:cs="Times New Roman"/>
          <w:sz w:val="24"/>
          <w:szCs w:val="24"/>
        </w:rPr>
        <w:t>Moghissi</w:t>
      </w:r>
      <w:proofErr w:type="spellEnd"/>
      <w:r w:rsidRPr="009E338F">
        <w:rPr>
          <w:rFonts w:ascii="Times New Roman" w:hAnsi="Times New Roman" w:cs="Times New Roman"/>
          <w:sz w:val="24"/>
          <w:szCs w:val="24"/>
        </w:rPr>
        <w:t xml:space="preserve"> ES, </w:t>
      </w:r>
      <w:proofErr w:type="spellStart"/>
      <w:r w:rsidRPr="009E338F">
        <w:rPr>
          <w:rFonts w:ascii="Times New Roman" w:hAnsi="Times New Roman" w:cs="Times New Roman"/>
          <w:sz w:val="24"/>
          <w:szCs w:val="24"/>
        </w:rPr>
        <w:t>Korytkowski</w:t>
      </w:r>
      <w:proofErr w:type="spellEnd"/>
      <w:r w:rsidRPr="009E338F">
        <w:rPr>
          <w:rFonts w:ascii="Times New Roman" w:hAnsi="Times New Roman" w:cs="Times New Roman"/>
          <w:sz w:val="24"/>
          <w:szCs w:val="24"/>
        </w:rPr>
        <w:t xml:space="preserve"> MT, </w:t>
      </w:r>
      <w:proofErr w:type="spellStart"/>
      <w:r w:rsidRPr="009E338F">
        <w:rPr>
          <w:rFonts w:ascii="Times New Roman" w:hAnsi="Times New Roman" w:cs="Times New Roman"/>
          <w:sz w:val="24"/>
          <w:szCs w:val="24"/>
        </w:rPr>
        <w:t>DiNardo</w:t>
      </w:r>
      <w:proofErr w:type="spellEnd"/>
      <w:r w:rsidRPr="009E338F">
        <w:rPr>
          <w:rFonts w:ascii="Times New Roman" w:hAnsi="Times New Roman" w:cs="Times New Roman"/>
          <w:sz w:val="24"/>
          <w:szCs w:val="24"/>
        </w:rPr>
        <w:t xml:space="preserve"> M, et al. </w:t>
      </w:r>
      <w:hyperlink r:id="rId5" w:history="1">
        <w:r w:rsidRPr="009E338F">
          <w:rPr>
            <w:rFonts w:ascii="Times New Roman" w:hAnsi="Times New Roman" w:cs="Times New Roman"/>
            <w:bCs/>
            <w:sz w:val="24"/>
            <w:szCs w:val="24"/>
          </w:rPr>
          <w:t>American</w:t>
        </w:r>
        <w:r w:rsidRPr="009E338F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9E338F">
          <w:rPr>
            <w:rFonts w:ascii="Times New Roman" w:hAnsi="Times New Roman" w:cs="Times New Roman"/>
            <w:bCs/>
            <w:sz w:val="24"/>
            <w:szCs w:val="24"/>
          </w:rPr>
          <w:t>Association</w:t>
        </w:r>
        <w:r w:rsidRPr="009E338F">
          <w:rPr>
            <w:rFonts w:ascii="Times New Roman" w:hAnsi="Times New Roman" w:cs="Times New Roman"/>
            <w:sz w:val="24"/>
            <w:szCs w:val="24"/>
          </w:rPr>
          <w:t xml:space="preserve"> of </w:t>
        </w:r>
        <w:r w:rsidRPr="009E338F">
          <w:rPr>
            <w:rFonts w:ascii="Times New Roman" w:hAnsi="Times New Roman" w:cs="Times New Roman"/>
            <w:bCs/>
            <w:sz w:val="24"/>
            <w:szCs w:val="24"/>
          </w:rPr>
          <w:t>Clinical</w:t>
        </w:r>
        <w:r w:rsidRPr="009E338F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9E338F">
          <w:rPr>
            <w:rFonts w:ascii="Times New Roman" w:hAnsi="Times New Roman" w:cs="Times New Roman"/>
            <w:bCs/>
            <w:sz w:val="24"/>
            <w:szCs w:val="24"/>
          </w:rPr>
          <w:t>Endocrinologists</w:t>
        </w:r>
        <w:r w:rsidRPr="009E338F">
          <w:rPr>
            <w:rFonts w:ascii="Times New Roman" w:hAnsi="Times New Roman" w:cs="Times New Roman"/>
            <w:sz w:val="24"/>
            <w:szCs w:val="24"/>
          </w:rPr>
          <w:t xml:space="preserve"> and </w:t>
        </w:r>
        <w:r w:rsidRPr="009E338F">
          <w:rPr>
            <w:rFonts w:ascii="Times New Roman" w:hAnsi="Times New Roman" w:cs="Times New Roman"/>
            <w:bCs/>
            <w:sz w:val="24"/>
            <w:szCs w:val="24"/>
          </w:rPr>
          <w:t>American</w:t>
        </w:r>
        <w:r w:rsidRPr="009E338F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9E338F">
          <w:rPr>
            <w:rFonts w:ascii="Times New Roman" w:hAnsi="Times New Roman" w:cs="Times New Roman"/>
            <w:bCs/>
            <w:sz w:val="24"/>
            <w:szCs w:val="24"/>
          </w:rPr>
          <w:t>Diabetes</w:t>
        </w:r>
        <w:r w:rsidRPr="009E338F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9E338F">
          <w:rPr>
            <w:rFonts w:ascii="Times New Roman" w:hAnsi="Times New Roman" w:cs="Times New Roman"/>
            <w:bCs/>
            <w:sz w:val="24"/>
            <w:szCs w:val="24"/>
          </w:rPr>
          <w:t>Association</w:t>
        </w:r>
        <w:r w:rsidRPr="009E338F">
          <w:rPr>
            <w:rFonts w:ascii="Times New Roman" w:hAnsi="Times New Roman" w:cs="Times New Roman"/>
            <w:sz w:val="24"/>
            <w:szCs w:val="24"/>
          </w:rPr>
          <w:t xml:space="preserve"> consensus statement on inpatient glycemic control.</w:t>
        </w:r>
      </w:hyperlink>
      <w:r w:rsidRPr="009E3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38F">
        <w:rPr>
          <w:rStyle w:val="jrnl"/>
          <w:rFonts w:ascii="Times New Roman" w:hAnsi="Times New Roman" w:cs="Times New Roman"/>
          <w:i/>
          <w:sz w:val="24"/>
          <w:szCs w:val="24"/>
        </w:rPr>
        <w:t>Endocr</w:t>
      </w:r>
      <w:proofErr w:type="spellEnd"/>
      <w:r w:rsidRPr="009E338F">
        <w:rPr>
          <w:rStyle w:val="jrnl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338F">
        <w:rPr>
          <w:rStyle w:val="jrnl"/>
          <w:rFonts w:ascii="Times New Roman" w:hAnsi="Times New Roman" w:cs="Times New Roman"/>
          <w:i/>
          <w:sz w:val="24"/>
          <w:szCs w:val="24"/>
        </w:rPr>
        <w:t>Pract</w:t>
      </w:r>
      <w:proofErr w:type="spellEnd"/>
      <w:r w:rsidRPr="009E338F">
        <w:rPr>
          <w:rFonts w:ascii="Times New Roman" w:hAnsi="Times New Roman" w:cs="Times New Roman"/>
          <w:sz w:val="24"/>
          <w:szCs w:val="24"/>
        </w:rPr>
        <w:t>. 2009; 15(4): 353-369.</w:t>
      </w:r>
    </w:p>
    <w:p w:rsidR="00570A78" w:rsidRPr="00E504DE" w:rsidRDefault="00570A78" w:rsidP="00936194">
      <w:pPr>
        <w:spacing w:after="0" w:line="240" w:lineRule="auto"/>
        <w:ind w:left="720" w:firstLine="60"/>
        <w:rPr>
          <w:rFonts w:ascii="Times New Roman" w:hAnsi="Times New Roman" w:cs="Times New Roman"/>
          <w:sz w:val="24"/>
          <w:szCs w:val="24"/>
        </w:rPr>
      </w:pPr>
    </w:p>
    <w:sectPr w:rsidR="00570A78" w:rsidRPr="00E50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32AB9"/>
    <w:multiLevelType w:val="hybridMultilevel"/>
    <w:tmpl w:val="F960704C"/>
    <w:lvl w:ilvl="0" w:tplc="FD72C9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CA"/>
    <w:rsid w:val="000859AD"/>
    <w:rsid w:val="00094598"/>
    <w:rsid w:val="00181BF2"/>
    <w:rsid w:val="00183CB3"/>
    <w:rsid w:val="00353636"/>
    <w:rsid w:val="003962A7"/>
    <w:rsid w:val="004142BF"/>
    <w:rsid w:val="00451F9B"/>
    <w:rsid w:val="0051679A"/>
    <w:rsid w:val="0055746C"/>
    <w:rsid w:val="00570A78"/>
    <w:rsid w:val="00581961"/>
    <w:rsid w:val="00647332"/>
    <w:rsid w:val="00723E2A"/>
    <w:rsid w:val="00727766"/>
    <w:rsid w:val="0076185E"/>
    <w:rsid w:val="007F5743"/>
    <w:rsid w:val="0081769B"/>
    <w:rsid w:val="00936194"/>
    <w:rsid w:val="00974B3D"/>
    <w:rsid w:val="009B3147"/>
    <w:rsid w:val="009F0A60"/>
    <w:rsid w:val="00A44915"/>
    <w:rsid w:val="00A81D6F"/>
    <w:rsid w:val="00AB45D3"/>
    <w:rsid w:val="00B26625"/>
    <w:rsid w:val="00B64001"/>
    <w:rsid w:val="00C25F10"/>
    <w:rsid w:val="00D37149"/>
    <w:rsid w:val="00DB2D21"/>
    <w:rsid w:val="00DC2086"/>
    <w:rsid w:val="00E06CCA"/>
    <w:rsid w:val="00E23C4D"/>
    <w:rsid w:val="00E504DE"/>
    <w:rsid w:val="00E545CC"/>
    <w:rsid w:val="00E57568"/>
    <w:rsid w:val="00E70E68"/>
    <w:rsid w:val="00EE1396"/>
    <w:rsid w:val="00F307B1"/>
    <w:rsid w:val="00F31114"/>
    <w:rsid w:val="00F45471"/>
    <w:rsid w:val="00F9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25358F0-4D07-4CD1-B538-549FA31C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A78"/>
    <w:pPr>
      <w:ind w:left="720"/>
      <w:contextualSpacing/>
    </w:pPr>
  </w:style>
  <w:style w:type="character" w:customStyle="1" w:styleId="jrnl">
    <w:name w:val="jrnl"/>
    <w:basedOn w:val="DefaultParagraphFont"/>
    <w:rsid w:val="00570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cbi.nlm.nih.gov/pubmed/194543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2991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Horton</dc:creator>
  <cp:lastModifiedBy>Susan O'Bryan</cp:lastModifiedBy>
  <cp:revision>2</cp:revision>
  <dcterms:created xsi:type="dcterms:W3CDTF">2017-06-16T13:32:00Z</dcterms:created>
  <dcterms:modified xsi:type="dcterms:W3CDTF">2017-06-16T13:32:00Z</dcterms:modified>
</cp:coreProperties>
</file>